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76BF" w14:textId="75B2076C" w:rsidR="009E758A" w:rsidRDefault="001D5C8C" w:rsidP="00E74AED">
      <w:pPr>
        <w:spacing w:after="0"/>
        <w:ind w:left="-28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9D3AE5F" wp14:editId="38C237E0">
            <wp:extent cx="1390650" cy="139065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A2EA782-89E2-488F-A20D-4D6C01FD2E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A2EA782-89E2-488F-A20D-4D6C01FD2E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415" cy="139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8D0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</w:p>
    <w:p w14:paraId="37FBF102" w14:textId="162A9212" w:rsidR="00871036" w:rsidRPr="009E758A" w:rsidRDefault="009E758A" w:rsidP="00E74AED">
      <w:pPr>
        <w:spacing w:after="120"/>
        <w:ind w:left="-28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758A">
        <w:rPr>
          <w:rFonts w:ascii="Times New Roman" w:hAnsi="Times New Roman" w:cs="Times New Roman"/>
          <w:b/>
          <w:bCs/>
          <w:sz w:val="30"/>
          <w:szCs w:val="30"/>
        </w:rPr>
        <w:t>PARDON PROJECT OF ERIE COUNTY</w:t>
      </w:r>
    </w:p>
    <w:p w14:paraId="12B70E7D" w14:textId="77777777" w:rsidR="00B55B8D" w:rsidRPr="006509F3" w:rsidRDefault="00871036" w:rsidP="00E74AED">
      <w:pPr>
        <w:spacing w:after="0"/>
        <w:ind w:left="-28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09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Eligibility Criteria </w:t>
      </w:r>
    </w:p>
    <w:p w14:paraId="43D6EEEF" w14:textId="77777777" w:rsidR="001A34AC" w:rsidRPr="001A34AC" w:rsidRDefault="001A34AC" w:rsidP="001A34AC">
      <w:pPr>
        <w:pStyle w:val="ListParagraph"/>
        <w:ind w:right="-28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EF5F2C" w14:textId="6BC7500B" w:rsidR="006170E4" w:rsidRPr="00E74AED" w:rsidRDefault="00846AAC" w:rsidP="00E74AE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residence in </w:t>
      </w:r>
      <w:r w:rsidR="002479EC"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  <w:r w:rsidR="00AB58A7">
        <w:rPr>
          <w:rFonts w:ascii="Times New Roman" w:hAnsi="Times New Roman" w:cs="Times New Roman"/>
          <w:sz w:val="24"/>
          <w:szCs w:val="24"/>
        </w:rPr>
        <w:t xml:space="preserve"> or </w:t>
      </w:r>
      <w:r w:rsidR="006509F3">
        <w:rPr>
          <w:rFonts w:ascii="Times New Roman" w:hAnsi="Times New Roman" w:cs="Times New Roman"/>
          <w:sz w:val="24"/>
          <w:szCs w:val="24"/>
        </w:rPr>
        <w:t xml:space="preserve">a </w:t>
      </w:r>
      <w:r w:rsidR="00AB58A7">
        <w:rPr>
          <w:rFonts w:ascii="Times New Roman" w:hAnsi="Times New Roman" w:cs="Times New Roman"/>
          <w:sz w:val="24"/>
          <w:szCs w:val="24"/>
        </w:rPr>
        <w:t xml:space="preserve">criminal </w:t>
      </w:r>
      <w:r w:rsidR="006509F3">
        <w:rPr>
          <w:rFonts w:ascii="Times New Roman" w:hAnsi="Times New Roman" w:cs="Times New Roman"/>
          <w:sz w:val="24"/>
          <w:szCs w:val="24"/>
        </w:rPr>
        <w:t xml:space="preserve">conviction </w:t>
      </w:r>
      <w:r w:rsidR="00AB58A7">
        <w:rPr>
          <w:rFonts w:ascii="Times New Roman" w:hAnsi="Times New Roman" w:cs="Times New Roman"/>
          <w:sz w:val="24"/>
          <w:szCs w:val="24"/>
        </w:rPr>
        <w:t>in Erie County (</w:t>
      </w:r>
      <w:proofErr w:type="gramStart"/>
      <w:r w:rsidR="00AB58A7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AB58A7">
        <w:rPr>
          <w:rFonts w:ascii="Times New Roman" w:hAnsi="Times New Roman" w:cs="Times New Roman"/>
          <w:sz w:val="24"/>
          <w:szCs w:val="24"/>
        </w:rPr>
        <w:t xml:space="preserve"> not living in a county with its own Pardon Project) </w:t>
      </w:r>
    </w:p>
    <w:p w14:paraId="1EB1DDFC" w14:textId="53C58D7C" w:rsidR="00846AAC" w:rsidRPr="00E74AED" w:rsidRDefault="006170E4" w:rsidP="00E74AED">
      <w:pPr>
        <w:pStyle w:val="ListParagraph"/>
        <w:numPr>
          <w:ilvl w:val="0"/>
          <w:numId w:val="1"/>
        </w:numPr>
        <w:ind w:right="-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open cases</w:t>
      </w:r>
    </w:p>
    <w:p w14:paraId="60A4B9AA" w14:textId="3CF319BB" w:rsidR="00871036" w:rsidRPr="00E74AED" w:rsidRDefault="000543F9" w:rsidP="00E74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BAB">
        <w:rPr>
          <w:rFonts w:ascii="Times New Roman" w:hAnsi="Times New Roman" w:cs="Times New Roman"/>
          <w:sz w:val="24"/>
          <w:szCs w:val="24"/>
        </w:rPr>
        <w:t xml:space="preserve">Household income at or below </w:t>
      </w:r>
      <w:r w:rsidR="002479EC" w:rsidRPr="00A034FB">
        <w:rPr>
          <w:rFonts w:ascii="Times New Roman" w:hAnsi="Times New Roman" w:cs="Times New Roman"/>
          <w:sz w:val="24"/>
          <w:szCs w:val="24"/>
        </w:rPr>
        <w:t>150</w:t>
      </w:r>
      <w:r w:rsidRPr="00A034FB">
        <w:rPr>
          <w:rFonts w:ascii="Times New Roman" w:hAnsi="Times New Roman" w:cs="Times New Roman"/>
          <w:sz w:val="24"/>
          <w:szCs w:val="24"/>
        </w:rPr>
        <w:t>%</w:t>
      </w:r>
      <w:r w:rsidRPr="007B6BAB">
        <w:rPr>
          <w:rFonts w:ascii="Times New Roman" w:hAnsi="Times New Roman" w:cs="Times New Roman"/>
          <w:sz w:val="24"/>
          <w:szCs w:val="24"/>
        </w:rPr>
        <w:t xml:space="preserve"> of the federal poverty guideline</w:t>
      </w:r>
      <w:r w:rsidR="008221D0">
        <w:rPr>
          <w:rFonts w:ascii="Times New Roman" w:hAnsi="Times New Roman" w:cs="Times New Roman"/>
          <w:sz w:val="24"/>
          <w:szCs w:val="24"/>
        </w:rPr>
        <w:t>s</w:t>
      </w:r>
      <w:r w:rsidR="007B6BAB" w:rsidRPr="007B6BAB">
        <w:rPr>
          <w:rFonts w:ascii="Times New Roman" w:hAnsi="Times New Roman" w:cs="Times New Roman"/>
          <w:sz w:val="24"/>
          <w:szCs w:val="24"/>
        </w:rPr>
        <w:t xml:space="preserve"> </w:t>
      </w:r>
      <w:r w:rsidR="008221D0" w:rsidRPr="008221D0">
        <w:rPr>
          <w:rFonts w:ascii="Calibri" w:eastAsia="Calibri" w:hAnsi="Calibri" w:cs="Times New Roman"/>
        </w:rPr>
        <w:t>(</w:t>
      </w:r>
      <w:hyperlink r:id="rId8" w:history="1">
        <w:r w:rsidR="008221D0" w:rsidRPr="008221D0">
          <w:rPr>
            <w:rFonts w:ascii="Calibri" w:eastAsia="Calibri" w:hAnsi="Calibri" w:cs="Times New Roman"/>
            <w:color w:val="0563C1"/>
            <w:u w:val="single"/>
          </w:rPr>
          <w:t>https://aspe.hhs.gov/poverty-guidelines</w:t>
        </w:r>
      </w:hyperlink>
      <w:r w:rsidR="008221D0" w:rsidRPr="008221D0">
        <w:rPr>
          <w:rFonts w:ascii="Calibri" w:eastAsia="Calibri" w:hAnsi="Calibri" w:cs="Times New Roman"/>
        </w:rPr>
        <w:t>).</w:t>
      </w:r>
      <w:r w:rsidR="007B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A5A09" w14:textId="747F1727" w:rsidR="00871108" w:rsidRPr="00D52D93" w:rsidRDefault="00871108" w:rsidP="00871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8D0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8D0">
        <w:rPr>
          <w:rFonts w:ascii="Times New Roman" w:hAnsi="Times New Roman" w:cs="Times New Roman"/>
          <w:sz w:val="24"/>
          <w:szCs w:val="24"/>
        </w:rPr>
        <w:t xml:space="preserve"> years have passed since </w:t>
      </w:r>
      <w:r w:rsidRPr="00946579">
        <w:rPr>
          <w:rFonts w:ascii="Times New Roman" w:hAnsi="Times New Roman" w:cs="Times New Roman"/>
          <w:i/>
          <w:iCs/>
          <w:sz w:val="24"/>
          <w:szCs w:val="24"/>
        </w:rPr>
        <w:t>completion</w:t>
      </w:r>
      <w:r w:rsidRPr="00BF48D0">
        <w:rPr>
          <w:rFonts w:ascii="Times New Roman" w:hAnsi="Times New Roman" w:cs="Times New Roman"/>
          <w:sz w:val="24"/>
          <w:szCs w:val="24"/>
        </w:rPr>
        <w:t xml:space="preserve"> of most recent sentence</w:t>
      </w:r>
      <w:r>
        <w:rPr>
          <w:rFonts w:ascii="Times New Roman" w:hAnsi="Times New Roman" w:cs="Times New Roman"/>
          <w:sz w:val="24"/>
          <w:szCs w:val="24"/>
        </w:rPr>
        <w:t>; exception: 8 years must have passed from the date of completion of sentence (to ensure that</w:t>
      </w:r>
      <w:r w:rsidRPr="00C80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years have passed before the application is heard by the Board of Pardons</w:t>
      </w:r>
      <w:r w:rsidRPr="00C80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any crime involving registration of the offender under SORNA or any of the following crimes (in all such cases, admission into program will be on a case-by-case basis):  </w:t>
      </w:r>
    </w:p>
    <w:p w14:paraId="269CD9CC" w14:textId="77777777" w:rsidR="00871108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Rape. </w:t>
      </w:r>
    </w:p>
    <w:p w14:paraId="6A5C285F" w14:textId="77777777" w:rsidR="00871108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delivery resulting in death.</w:t>
      </w:r>
    </w:p>
    <w:p w14:paraId="6C85A65E" w14:textId="77777777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felony involving</w:t>
      </w:r>
      <w:r w:rsidRPr="00D52D93">
        <w:rPr>
          <w:rFonts w:ascii="Times New Roman" w:hAnsi="Times New Roman" w:cs="Times New Roman"/>
          <w:sz w:val="24"/>
          <w:szCs w:val="24"/>
        </w:rPr>
        <w:t xml:space="preserve"> sexual</w:t>
      </w:r>
      <w:r>
        <w:rPr>
          <w:rFonts w:ascii="Times New Roman" w:hAnsi="Times New Roman" w:cs="Times New Roman"/>
          <w:sz w:val="24"/>
          <w:szCs w:val="24"/>
        </w:rPr>
        <w:t xml:space="preserve"> conduct</w:t>
      </w:r>
      <w:r w:rsidRPr="00D52D93">
        <w:rPr>
          <w:rFonts w:ascii="Times New Roman" w:hAnsi="Times New Roman" w:cs="Times New Roman"/>
          <w:sz w:val="24"/>
          <w:szCs w:val="24"/>
        </w:rPr>
        <w:t>.</w:t>
      </w:r>
    </w:p>
    <w:p w14:paraId="5E4C4687" w14:textId="0CC15B49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Robbery</w:t>
      </w:r>
      <w:r w:rsidR="00E058A5">
        <w:rPr>
          <w:rFonts w:ascii="Times New Roman" w:hAnsi="Times New Roman" w:cs="Times New Roman"/>
          <w:sz w:val="24"/>
          <w:szCs w:val="24"/>
        </w:rPr>
        <w:t xml:space="preserve"> involving violence to a person</w:t>
      </w:r>
      <w:r w:rsidRPr="00D52D93">
        <w:rPr>
          <w:rFonts w:ascii="Times New Roman" w:hAnsi="Times New Roman" w:cs="Times New Roman"/>
          <w:sz w:val="24"/>
          <w:szCs w:val="24"/>
        </w:rPr>
        <w:t>.</w:t>
      </w:r>
    </w:p>
    <w:p w14:paraId="2F3A95EA" w14:textId="77777777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Robbery of a motor vehicle.</w:t>
      </w:r>
    </w:p>
    <w:p w14:paraId="759608EC" w14:textId="77777777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Aggravated assault.</w:t>
      </w:r>
    </w:p>
    <w:p w14:paraId="17E13A8D" w14:textId="77777777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Kidnapping.</w:t>
      </w:r>
    </w:p>
    <w:p w14:paraId="368FED98" w14:textId="77777777" w:rsidR="00871108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Voluntary manslaughter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AA6CD" w14:textId="77777777" w:rsidR="00871108" w:rsidRPr="00D52D93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Murder.</w:t>
      </w:r>
    </w:p>
    <w:p w14:paraId="29FDE45C" w14:textId="77777777" w:rsidR="00871108" w:rsidRDefault="00871108" w:rsidP="0087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Arson.</w:t>
      </w:r>
    </w:p>
    <w:p w14:paraId="73A837DB" w14:textId="628ECF91" w:rsidR="00871108" w:rsidRPr="00E74AED" w:rsidRDefault="00871108" w:rsidP="00E74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93">
        <w:rPr>
          <w:rFonts w:ascii="Times New Roman" w:hAnsi="Times New Roman" w:cs="Times New Roman"/>
          <w:sz w:val="24"/>
          <w:szCs w:val="24"/>
        </w:rPr>
        <w:t>Attempt, conspiracy or solicitation to commit the above crimes.</w:t>
      </w:r>
    </w:p>
    <w:p w14:paraId="7C36EFEC" w14:textId="12410B14" w:rsidR="00BF48D0" w:rsidRPr="00E74AED" w:rsidRDefault="002630DD" w:rsidP="00E74AED">
      <w:pPr>
        <w:pStyle w:val="ListParagraph"/>
        <w:numPr>
          <w:ilvl w:val="0"/>
          <w:numId w:val="1"/>
        </w:numPr>
        <w:spacing w:after="0"/>
        <w:ind w:right="-288"/>
        <w:rPr>
          <w:rFonts w:ascii="Times New Roman" w:hAnsi="Times New Roman" w:cs="Times New Roman"/>
          <w:sz w:val="24"/>
          <w:szCs w:val="24"/>
        </w:rPr>
      </w:pPr>
      <w:r w:rsidRPr="002630DD">
        <w:rPr>
          <w:rFonts w:ascii="Times New Roman" w:hAnsi="Times New Roman" w:cs="Times New Roman"/>
          <w:sz w:val="24"/>
          <w:szCs w:val="24"/>
        </w:rPr>
        <w:t>Individuals who were juveniles at the time of the crime and convicted in adult court</w:t>
      </w:r>
    </w:p>
    <w:p w14:paraId="5F747F95" w14:textId="7CA93FB2" w:rsidR="006509F3" w:rsidRPr="00871108" w:rsidRDefault="00377C0B" w:rsidP="00E74AED">
      <w:pPr>
        <w:pStyle w:val="ListParagraph"/>
        <w:numPr>
          <w:ilvl w:val="0"/>
          <w:numId w:val="1"/>
        </w:numPr>
        <w:spacing w:after="240"/>
        <w:ind w:right="-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Payment of amount due</w:t>
      </w:r>
      <w:r w:rsidR="00BF48D0" w:rsidRPr="00BF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restitution and fines (not including court fees and costs) </w:t>
      </w:r>
      <w:r w:rsidR="00BF48D0" w:rsidRPr="00BF48D0">
        <w:rPr>
          <w:rFonts w:ascii="Times New Roman" w:hAnsi="Times New Roman" w:cs="Times New Roman"/>
          <w:sz w:val="24"/>
          <w:szCs w:val="24"/>
        </w:rPr>
        <w:t xml:space="preserve">is possible within </w:t>
      </w:r>
      <w:r w:rsidR="00871108">
        <w:rPr>
          <w:rFonts w:ascii="Times New Roman" w:hAnsi="Times New Roman" w:cs="Times New Roman"/>
          <w:sz w:val="24"/>
          <w:szCs w:val="24"/>
        </w:rPr>
        <w:t>2 years</w:t>
      </w:r>
      <w:r w:rsidR="002479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630DD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2630DD">
        <w:rPr>
          <w:rFonts w:ascii="Times New Roman" w:hAnsi="Times New Roman" w:cs="Times New Roman"/>
          <w:sz w:val="24"/>
          <w:szCs w:val="24"/>
        </w:rPr>
        <w:t xml:space="preserve"> </w:t>
      </w:r>
      <w:r w:rsidR="002479EC" w:rsidRPr="006509F3">
        <w:rPr>
          <w:rFonts w:ascii="Times New Roman" w:hAnsi="Times New Roman" w:cs="Times New Roman"/>
          <w:sz w:val="24"/>
          <w:szCs w:val="24"/>
        </w:rPr>
        <w:t>there is a payment plan in place</w:t>
      </w:r>
      <w:r w:rsidR="00D51637" w:rsidRPr="006509F3">
        <w:rPr>
          <w:rFonts w:ascii="Times New Roman" w:hAnsi="Times New Roman" w:cs="Times New Roman"/>
          <w:sz w:val="24"/>
          <w:szCs w:val="24"/>
        </w:rPr>
        <w:t xml:space="preserve"> and being followed</w:t>
      </w:r>
      <w:r w:rsidR="008221D0">
        <w:rPr>
          <w:rFonts w:ascii="Times New Roman" w:hAnsi="Times New Roman" w:cs="Times New Roman"/>
          <w:sz w:val="24"/>
          <w:szCs w:val="24"/>
        </w:rPr>
        <w:t>.</w:t>
      </w:r>
    </w:p>
    <w:p w14:paraId="764FA5FA" w14:textId="5447BEED" w:rsidR="00CC4477" w:rsidRDefault="00CC4477" w:rsidP="000543F9">
      <w:pPr>
        <w:ind w:left="28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Pardon Project Volunteer always has the right to decline a referral, for any or no reason.</w:t>
      </w:r>
    </w:p>
    <w:p w14:paraId="19BAA045" w14:textId="00E06E06" w:rsidR="00E03719" w:rsidRDefault="00871036" w:rsidP="006509F3">
      <w:pPr>
        <w:ind w:left="288" w:right="-4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If, after investigation, a Pardon Project Volunteer determines that a client does NOT qualify for </w:t>
      </w:r>
      <w:r w:rsidR="006509F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Pardon Project, the volunteer may decide (in her/his own discretion)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 continue assisting the individual.  If the volunteer declines to proceed further, </w:t>
      </w:r>
      <w:r w:rsidR="006509F3">
        <w:rPr>
          <w:rFonts w:ascii="Times New Roman" w:hAnsi="Times New Roman" w:cs="Times New Roman"/>
          <w:i/>
          <w:iCs/>
          <w:sz w:val="24"/>
          <w:szCs w:val="24"/>
        </w:rPr>
        <w:t>the Pardon Project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will notify those individuals who do not qualify that they are being declined from the Project</w:t>
      </w:r>
      <w:r w:rsidR="006509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E99FEA" w14:textId="69A8B5A3" w:rsidR="0096083F" w:rsidRDefault="0096083F" w:rsidP="006509F3">
      <w:pPr>
        <w:ind w:left="288" w:right="-432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B39E7" w14:textId="0C54A97A" w:rsidR="00B5358A" w:rsidRDefault="002630DD" w:rsidP="00846AAC">
      <w:pPr>
        <w:tabs>
          <w:tab w:val="left" w:pos="1778"/>
          <w:tab w:val="left" w:pos="5618"/>
        </w:tabs>
        <w:spacing w:after="0" w:line="240" w:lineRule="auto"/>
        <w:jc w:val="center"/>
        <w:rPr>
          <w:rFonts w:ascii="MS Mincho" w:eastAsia="MS Mincho" w:hAnsi="MS Mincho" w:cs="MS Mincho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358A" w:rsidRPr="00B5358A">
        <w:rPr>
          <w:rFonts w:ascii="MS Mincho" w:eastAsia="MS Mincho" w:hAnsi="MS Mincho" w:cs="MS Mincho"/>
          <w:b/>
          <w:color w:val="002060"/>
          <w:sz w:val="20"/>
          <w:szCs w:val="20"/>
        </w:rPr>
        <w:t xml:space="preserve">    </w:t>
      </w:r>
    </w:p>
    <w:p w14:paraId="26F677E0" w14:textId="7BC2A477" w:rsidR="00140139" w:rsidRPr="00140139" w:rsidRDefault="00140139" w:rsidP="00140139">
      <w:pPr>
        <w:tabs>
          <w:tab w:val="left" w:pos="1778"/>
          <w:tab w:val="left" w:pos="5618"/>
        </w:tabs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As Adopted, </w:t>
      </w:r>
      <w:r w:rsidR="00B4710E">
        <w:rPr>
          <w:rFonts w:ascii="Times New Roman" w:hAnsi="Times New Roman" w:cs="Times New Roman"/>
          <w:b/>
          <w:color w:val="002060"/>
          <w:sz w:val="24"/>
          <w:szCs w:val="24"/>
        </w:rPr>
        <w:t>July 16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, 2021</w:t>
      </w:r>
    </w:p>
    <w:sectPr w:rsidR="00140139" w:rsidRPr="00140139" w:rsidSect="00426848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8C0" w14:textId="77777777" w:rsidR="00375180" w:rsidRDefault="00375180" w:rsidP="00B5358A">
      <w:pPr>
        <w:spacing w:after="0" w:line="240" w:lineRule="auto"/>
      </w:pPr>
      <w:r>
        <w:separator/>
      </w:r>
    </w:p>
  </w:endnote>
  <w:endnote w:type="continuationSeparator" w:id="0">
    <w:p w14:paraId="724C9764" w14:textId="77777777" w:rsidR="00375180" w:rsidRDefault="00375180" w:rsidP="00B5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09C" w14:textId="77777777" w:rsidR="00375180" w:rsidRDefault="00375180" w:rsidP="00B5358A">
      <w:pPr>
        <w:spacing w:after="0" w:line="240" w:lineRule="auto"/>
      </w:pPr>
      <w:r>
        <w:separator/>
      </w:r>
    </w:p>
  </w:footnote>
  <w:footnote w:type="continuationSeparator" w:id="0">
    <w:p w14:paraId="44F12F17" w14:textId="77777777" w:rsidR="00375180" w:rsidRDefault="00375180" w:rsidP="00B5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882"/>
    <w:multiLevelType w:val="hybridMultilevel"/>
    <w:tmpl w:val="45AA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9"/>
    <w:rsid w:val="000543F9"/>
    <w:rsid w:val="000625C2"/>
    <w:rsid w:val="00075180"/>
    <w:rsid w:val="000D681F"/>
    <w:rsid w:val="001050DA"/>
    <w:rsid w:val="00140139"/>
    <w:rsid w:val="00160F1D"/>
    <w:rsid w:val="001A34AC"/>
    <w:rsid w:val="001D5C8C"/>
    <w:rsid w:val="002479EC"/>
    <w:rsid w:val="002630DD"/>
    <w:rsid w:val="00291449"/>
    <w:rsid w:val="002E6A83"/>
    <w:rsid w:val="00337DC6"/>
    <w:rsid w:val="00375180"/>
    <w:rsid w:val="00377C0B"/>
    <w:rsid w:val="00426848"/>
    <w:rsid w:val="004439E7"/>
    <w:rsid w:val="004E79BC"/>
    <w:rsid w:val="00552853"/>
    <w:rsid w:val="005A74C8"/>
    <w:rsid w:val="005B486C"/>
    <w:rsid w:val="006170E4"/>
    <w:rsid w:val="00637F78"/>
    <w:rsid w:val="006509F3"/>
    <w:rsid w:val="006956B4"/>
    <w:rsid w:val="006C1453"/>
    <w:rsid w:val="006E7F7D"/>
    <w:rsid w:val="006F49E6"/>
    <w:rsid w:val="00702FD3"/>
    <w:rsid w:val="007678CC"/>
    <w:rsid w:val="007B6BAB"/>
    <w:rsid w:val="008008F8"/>
    <w:rsid w:val="00810230"/>
    <w:rsid w:val="0082131A"/>
    <w:rsid w:val="008221D0"/>
    <w:rsid w:val="00823891"/>
    <w:rsid w:val="00846AAC"/>
    <w:rsid w:val="008575CD"/>
    <w:rsid w:val="00871036"/>
    <w:rsid w:val="00871108"/>
    <w:rsid w:val="00880F56"/>
    <w:rsid w:val="008D2FBE"/>
    <w:rsid w:val="008D536F"/>
    <w:rsid w:val="00946579"/>
    <w:rsid w:val="0096083F"/>
    <w:rsid w:val="00967C56"/>
    <w:rsid w:val="009E1071"/>
    <w:rsid w:val="009E758A"/>
    <w:rsid w:val="00A02AD7"/>
    <w:rsid w:val="00A034FB"/>
    <w:rsid w:val="00A0468A"/>
    <w:rsid w:val="00AB58A7"/>
    <w:rsid w:val="00B126C1"/>
    <w:rsid w:val="00B4710E"/>
    <w:rsid w:val="00B5358A"/>
    <w:rsid w:val="00B55B8D"/>
    <w:rsid w:val="00BC4F26"/>
    <w:rsid w:val="00BF48D0"/>
    <w:rsid w:val="00C63DFD"/>
    <w:rsid w:val="00C9751A"/>
    <w:rsid w:val="00CA4B8B"/>
    <w:rsid w:val="00CC4477"/>
    <w:rsid w:val="00D221E3"/>
    <w:rsid w:val="00D228CA"/>
    <w:rsid w:val="00D51637"/>
    <w:rsid w:val="00D93799"/>
    <w:rsid w:val="00DB5F32"/>
    <w:rsid w:val="00DE78D4"/>
    <w:rsid w:val="00E03719"/>
    <w:rsid w:val="00E058A5"/>
    <w:rsid w:val="00E74AED"/>
    <w:rsid w:val="00EA2723"/>
    <w:rsid w:val="00F44ADE"/>
    <w:rsid w:val="00F44AFA"/>
    <w:rsid w:val="00F54ADA"/>
    <w:rsid w:val="00FA3ECA"/>
    <w:rsid w:val="00FC1DBE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43556"/>
  <w15:docId w15:val="{0369645F-CA97-4D3E-A4A0-D4BFCD0D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4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0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1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036"/>
    <w:rPr>
      <w:sz w:val="20"/>
      <w:szCs w:val="20"/>
    </w:rPr>
  </w:style>
  <w:style w:type="table" w:styleId="TableGrid">
    <w:name w:val="Table Grid"/>
    <w:basedOn w:val="TableNormal"/>
    <w:uiPriority w:val="39"/>
    <w:rsid w:val="0087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8A"/>
  </w:style>
  <w:style w:type="paragraph" w:styleId="Footer">
    <w:name w:val="footer"/>
    <w:basedOn w:val="Normal"/>
    <w:link w:val="FooterChar"/>
    <w:uiPriority w:val="99"/>
    <w:unhideWhenUsed/>
    <w:rsid w:val="00B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poverty-guide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Oxholm</dc:creator>
  <cp:keywords/>
  <dc:description/>
  <cp:lastModifiedBy>Tobey Oxholm</cp:lastModifiedBy>
  <cp:revision>2</cp:revision>
  <dcterms:created xsi:type="dcterms:W3CDTF">2021-11-14T12:17:00Z</dcterms:created>
  <dcterms:modified xsi:type="dcterms:W3CDTF">2021-11-14T12:17:00Z</dcterms:modified>
</cp:coreProperties>
</file>